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right="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附件3 贵州省博物馆馆藏纸质文物保护修复项目（2024）比选评分表</w:t>
      </w:r>
    </w:p>
    <w:p>
      <w:pPr>
        <w:pStyle w:val="4"/>
        <w:bidi w:val="0"/>
        <w:jc w:val="center"/>
        <w:rPr>
          <w:rFonts w:hint="eastAsia"/>
          <w:lang w:val="en-US" w:eastAsia="zh-CN"/>
        </w:rPr>
      </w:pPr>
      <w:r>
        <w:rPr>
          <w:rFonts w:hint="eastAsia" w:ascii="仿宋" w:hAnsi="仿宋" w:eastAsia="仿宋" w:cs="仿宋"/>
          <w:sz w:val="28"/>
          <w:szCs w:val="28"/>
          <w:lang w:val="en-US" w:eastAsia="zh-CN"/>
        </w:rPr>
        <w:t>评分表</w:t>
      </w:r>
    </w:p>
    <w:p>
      <w:pPr>
        <w:pStyle w:val="2"/>
        <w:ind w:left="0" w:leftChars="0" w:firstLine="0" w:firstLineChars="0"/>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项目名称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 xml:space="preserve">    评分专家</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 xml:space="preserve">   日期</w:t>
      </w:r>
      <w:r>
        <w:rPr>
          <w:rFonts w:hint="eastAsia" w:ascii="仿宋" w:hAnsi="仿宋" w:eastAsia="仿宋" w:cs="仿宋"/>
          <w:sz w:val="28"/>
          <w:szCs w:val="28"/>
          <w:u w:val="single"/>
          <w:lang w:val="en-US" w:eastAsia="zh-CN"/>
        </w:rPr>
        <w:t xml:space="preserve">                  </w:t>
      </w:r>
    </w:p>
    <w:tbl>
      <w:tblPr>
        <w:tblStyle w:val="6"/>
        <w:tblpPr w:leftFromText="180" w:rightFromText="180" w:vertAnchor="text" w:horzAnchor="page" w:tblpX="1469" w:tblpY="565"/>
        <w:tblOverlap w:val="never"/>
        <w:tblW w:w="14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1433"/>
        <w:gridCol w:w="1467"/>
        <w:gridCol w:w="589"/>
        <w:gridCol w:w="7202"/>
        <w:gridCol w:w="843"/>
        <w:gridCol w:w="843"/>
        <w:gridCol w:w="843"/>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1184" w:type="dxa"/>
            <w:gridSpan w:val="5"/>
            <w:tcBorders>
              <w:tl2br w:val="single" w:color="auto" w:sz="4" w:space="0"/>
            </w:tcBorders>
            <w:noWrap w:val="0"/>
            <w:vAlign w:val="center"/>
          </w:tcPr>
          <w:p>
            <w:pPr>
              <w:keepNext w:val="0"/>
              <w:keepLines w:val="0"/>
              <w:pageBreakBefore w:val="0"/>
              <w:widowControl w:val="0"/>
              <w:tabs>
                <w:tab w:val="left" w:pos="6474"/>
              </w:tabs>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评分项及评分标准</w:t>
            </w:r>
            <w:r>
              <w:rPr>
                <w:rFonts w:hint="eastAsia" w:ascii="仿宋" w:hAnsi="仿宋" w:eastAsia="仿宋" w:cs="仿宋"/>
                <w:color w:val="000000"/>
                <w:sz w:val="28"/>
                <w:szCs w:val="28"/>
                <w:lang w:val="en-US" w:eastAsia="zh-CN"/>
              </w:rPr>
              <w:tab/>
            </w:r>
            <w:r>
              <w:rPr>
                <w:rFonts w:hint="eastAsia" w:ascii="仿宋" w:hAnsi="仿宋" w:eastAsia="仿宋" w:cs="仿宋"/>
                <w:color w:val="000000"/>
                <w:sz w:val="28"/>
                <w:szCs w:val="28"/>
                <w:lang w:val="en-US" w:eastAsia="zh-CN"/>
              </w:rPr>
              <w:t>供应商名称</w:t>
            </w:r>
          </w:p>
        </w:tc>
        <w:tc>
          <w:tcPr>
            <w:tcW w:w="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color w:val="000000"/>
                <w:sz w:val="28"/>
                <w:szCs w:val="28"/>
                <w:lang w:val="en-US" w:eastAsia="zh-CN"/>
              </w:rPr>
            </w:pPr>
          </w:p>
        </w:tc>
        <w:tc>
          <w:tcPr>
            <w:tcW w:w="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color w:val="000000"/>
                <w:sz w:val="28"/>
                <w:szCs w:val="28"/>
                <w:lang w:val="en-US" w:eastAsia="zh-CN"/>
              </w:rPr>
            </w:pPr>
          </w:p>
        </w:tc>
        <w:tc>
          <w:tcPr>
            <w:tcW w:w="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color w:val="000000"/>
                <w:sz w:val="28"/>
                <w:szCs w:val="28"/>
                <w:lang w:val="en-US" w:eastAsia="zh-CN"/>
              </w:rPr>
            </w:pPr>
          </w:p>
        </w:tc>
        <w:tc>
          <w:tcPr>
            <w:tcW w:w="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color w:val="00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w:t>
            </w:r>
          </w:p>
        </w:tc>
        <w:tc>
          <w:tcPr>
            <w:tcW w:w="143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color w:val="000000"/>
                <w:spacing w:val="-11"/>
                <w:sz w:val="28"/>
                <w:szCs w:val="28"/>
              </w:rPr>
            </w:pPr>
            <w:r>
              <w:rPr>
                <w:rFonts w:hint="eastAsia" w:ascii="仿宋" w:hAnsi="仿宋" w:eastAsia="仿宋" w:cs="仿宋"/>
                <w:color w:val="000000"/>
                <w:spacing w:val="-11"/>
                <w:sz w:val="28"/>
                <w:szCs w:val="28"/>
              </w:rPr>
              <w:t>价格评价项</w:t>
            </w:r>
          </w:p>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pacing w:val="-11"/>
                <w:sz w:val="28"/>
                <w:szCs w:val="28"/>
                <w:lang w:val="en-US" w:eastAsia="zh-CN"/>
              </w:rPr>
              <w:t>10分</w:t>
            </w:r>
          </w:p>
        </w:tc>
        <w:tc>
          <w:tcPr>
            <w:tcW w:w="2056"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jc w:val="center"/>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10分</w:t>
            </w:r>
          </w:p>
        </w:tc>
        <w:tc>
          <w:tcPr>
            <w:tcW w:w="7202" w:type="dxa"/>
            <w:noWrap w:val="0"/>
            <w:vAlign w:val="center"/>
          </w:tcPr>
          <w:p>
            <w:pPr>
              <w:keepNext w:val="0"/>
              <w:keepLines w:val="0"/>
              <w:pageBreakBefore w:val="0"/>
              <w:widowControl w:val="0"/>
              <w:kinsoku/>
              <w:wordWrap/>
              <w:overflowPunct/>
              <w:topLinePunct w:val="0"/>
              <w:autoSpaceDE/>
              <w:autoSpaceDN/>
              <w:bidi w:val="0"/>
              <w:spacing w:line="288" w:lineRule="auto"/>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经评标委员会一致认定满足招标文件要求，且投标价格最低的投标报价为评标基准价，其价格得分记为</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分。其他投标人的价格得分统一按公式计算：投标报价得分=(评标基准价/投标报价)×价格权值。</w:t>
            </w:r>
          </w:p>
        </w:tc>
        <w:tc>
          <w:tcPr>
            <w:tcW w:w="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color w:val="000000"/>
                <w:sz w:val="28"/>
                <w:szCs w:val="28"/>
              </w:rPr>
            </w:pPr>
          </w:p>
        </w:tc>
        <w:tc>
          <w:tcPr>
            <w:tcW w:w="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color w:val="000000"/>
                <w:sz w:val="28"/>
                <w:szCs w:val="28"/>
              </w:rPr>
            </w:pPr>
          </w:p>
        </w:tc>
        <w:tc>
          <w:tcPr>
            <w:tcW w:w="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color w:val="000000"/>
                <w:sz w:val="28"/>
                <w:szCs w:val="28"/>
              </w:rPr>
            </w:pPr>
          </w:p>
        </w:tc>
        <w:tc>
          <w:tcPr>
            <w:tcW w:w="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trPr>
        <w:tc>
          <w:tcPr>
            <w:tcW w:w="493"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w:t>
            </w:r>
          </w:p>
        </w:tc>
        <w:tc>
          <w:tcPr>
            <w:tcW w:w="1433"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技术评价项</w:t>
            </w:r>
          </w:p>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45分</w:t>
            </w:r>
          </w:p>
        </w:tc>
        <w:tc>
          <w:tcPr>
            <w:tcW w:w="1467"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实施方案与技术措施</w:t>
            </w:r>
          </w:p>
        </w:tc>
        <w:tc>
          <w:tcPr>
            <w:tcW w:w="589"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15</w:t>
            </w:r>
            <w:r>
              <w:rPr>
                <w:rFonts w:hint="eastAsia" w:ascii="仿宋" w:hAnsi="仿宋" w:eastAsia="仿宋" w:cs="仿宋"/>
                <w:color w:val="000000"/>
                <w:sz w:val="28"/>
                <w:szCs w:val="28"/>
              </w:rPr>
              <w:t>分</w:t>
            </w:r>
          </w:p>
        </w:tc>
        <w:tc>
          <w:tcPr>
            <w:tcW w:w="7202" w:type="dxa"/>
            <w:noWrap w:val="0"/>
            <w:vAlign w:val="center"/>
          </w:tcPr>
          <w:p>
            <w:pPr>
              <w:keepNext w:val="0"/>
              <w:keepLines w:val="0"/>
              <w:pageBreakBefore w:val="0"/>
              <w:widowControl w:val="0"/>
              <w:kinsoku/>
              <w:wordWrap/>
              <w:overflowPunct/>
              <w:topLinePunct w:val="0"/>
              <w:autoSpaceDE/>
              <w:autoSpaceDN/>
              <w:bidi w:val="0"/>
              <w:spacing w:line="288" w:lineRule="auto"/>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（1）针对项目</w:t>
            </w:r>
            <w:r>
              <w:rPr>
                <w:rFonts w:hint="eastAsia" w:ascii="仿宋" w:hAnsi="仿宋" w:eastAsia="仿宋" w:cs="仿宋"/>
                <w:color w:val="000000"/>
                <w:sz w:val="28"/>
                <w:szCs w:val="28"/>
                <w:lang w:eastAsia="zh-CN"/>
              </w:rPr>
              <w:t>文物基本情况汇总统计表</w:t>
            </w:r>
            <w:r>
              <w:rPr>
                <w:rFonts w:hint="eastAsia" w:ascii="仿宋" w:hAnsi="仿宋" w:eastAsia="仿宋" w:cs="仿宋"/>
                <w:color w:val="000000"/>
                <w:sz w:val="28"/>
                <w:szCs w:val="28"/>
              </w:rPr>
              <w:t>制定</w:t>
            </w:r>
            <w:r>
              <w:rPr>
                <w:rFonts w:hint="eastAsia" w:ascii="仿宋" w:hAnsi="仿宋" w:eastAsia="仿宋" w:cs="仿宋"/>
                <w:color w:val="000000"/>
                <w:sz w:val="28"/>
                <w:szCs w:val="28"/>
                <w:lang w:eastAsia="zh-CN"/>
              </w:rPr>
              <w:t>有效</w:t>
            </w:r>
            <w:r>
              <w:rPr>
                <w:rFonts w:hint="eastAsia" w:ascii="仿宋" w:hAnsi="仿宋" w:eastAsia="仿宋" w:cs="仿宋"/>
                <w:color w:val="000000"/>
                <w:sz w:val="28"/>
                <w:szCs w:val="28"/>
              </w:rPr>
              <w:t>技术措施</w:t>
            </w:r>
            <w:r>
              <w:rPr>
                <w:rFonts w:hint="eastAsia" w:ascii="仿宋" w:hAnsi="仿宋" w:eastAsia="仿宋" w:cs="仿宋"/>
                <w:color w:val="000000"/>
                <w:sz w:val="28"/>
                <w:szCs w:val="28"/>
                <w:lang w:eastAsia="zh-CN"/>
              </w:rPr>
              <w:t>或处理方案，</w:t>
            </w:r>
            <w:r>
              <w:rPr>
                <w:rFonts w:hint="eastAsia" w:ascii="仿宋" w:hAnsi="仿宋" w:eastAsia="仿宋" w:cs="仿宋"/>
                <w:color w:val="000000"/>
                <w:sz w:val="28"/>
                <w:szCs w:val="28"/>
              </w:rPr>
              <w:t>对</w:t>
            </w:r>
            <w:r>
              <w:rPr>
                <w:rFonts w:hint="eastAsia" w:ascii="仿宋" w:hAnsi="仿宋" w:eastAsia="仿宋" w:cs="仿宋"/>
                <w:color w:val="000000"/>
                <w:sz w:val="28"/>
                <w:szCs w:val="28"/>
                <w:lang w:eastAsia="zh-CN"/>
              </w:rPr>
              <w:t>处理</w:t>
            </w:r>
            <w:r>
              <w:rPr>
                <w:rFonts w:hint="eastAsia" w:ascii="仿宋" w:hAnsi="仿宋" w:eastAsia="仿宋" w:cs="仿宋"/>
                <w:color w:val="000000"/>
                <w:sz w:val="28"/>
                <w:szCs w:val="28"/>
              </w:rPr>
              <w:t>方式、重点工艺、操作规程的说明科学合理、清晰可靠计</w:t>
            </w:r>
            <w:r>
              <w:rPr>
                <w:rFonts w:hint="eastAsia" w:ascii="仿宋" w:hAnsi="仿宋" w:eastAsia="仿宋" w:cs="仿宋"/>
                <w:color w:val="000000"/>
                <w:sz w:val="28"/>
                <w:szCs w:val="28"/>
                <w:lang w:val="en-US" w:eastAsia="zh-CN"/>
              </w:rPr>
              <w:t>15</w:t>
            </w:r>
            <w:r>
              <w:rPr>
                <w:rFonts w:hint="eastAsia" w:ascii="仿宋" w:hAnsi="仿宋" w:eastAsia="仿宋" w:cs="仿宋"/>
                <w:color w:val="000000"/>
                <w:sz w:val="28"/>
                <w:szCs w:val="28"/>
              </w:rPr>
              <w:t>分；</w:t>
            </w:r>
          </w:p>
          <w:p>
            <w:pPr>
              <w:keepNext w:val="0"/>
              <w:keepLines w:val="0"/>
              <w:pageBreakBefore w:val="0"/>
              <w:widowControl w:val="0"/>
              <w:kinsoku/>
              <w:wordWrap/>
              <w:overflowPunct/>
              <w:topLinePunct w:val="0"/>
              <w:autoSpaceDE/>
              <w:autoSpaceDN/>
              <w:bidi w:val="0"/>
              <w:spacing w:line="288" w:lineRule="auto"/>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（2）针对项目制定的实施方案与技术措施对组织方式，操作规程的说明基本合理，较为清晰计</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分；</w:t>
            </w:r>
          </w:p>
          <w:p>
            <w:pPr>
              <w:keepNext w:val="0"/>
              <w:keepLines w:val="0"/>
              <w:pageBreakBefore w:val="0"/>
              <w:widowControl w:val="0"/>
              <w:kinsoku/>
              <w:wordWrap/>
              <w:overflowPunct/>
              <w:topLinePunct w:val="0"/>
              <w:autoSpaceDE/>
              <w:autoSpaceDN/>
              <w:bidi w:val="0"/>
              <w:spacing w:line="288" w:lineRule="auto"/>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（3）针对项目制定的实施方案与技术措施对组织方式，操作规程的说明欠合理，不清晰计</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分；</w:t>
            </w:r>
          </w:p>
          <w:p>
            <w:pPr>
              <w:keepNext w:val="0"/>
              <w:keepLines w:val="0"/>
              <w:pageBreakBefore w:val="0"/>
              <w:widowControl w:val="0"/>
              <w:kinsoku/>
              <w:wordWrap/>
              <w:overflowPunct/>
              <w:topLinePunct w:val="0"/>
              <w:autoSpaceDE/>
              <w:autoSpaceDN/>
              <w:bidi w:val="0"/>
              <w:spacing w:line="288" w:lineRule="auto"/>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（4）未提供方案的计0分</w:t>
            </w:r>
          </w:p>
        </w:tc>
        <w:tc>
          <w:tcPr>
            <w:tcW w:w="843"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p>
        </w:tc>
        <w:tc>
          <w:tcPr>
            <w:tcW w:w="843"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p>
        </w:tc>
        <w:tc>
          <w:tcPr>
            <w:tcW w:w="843"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p>
        </w:tc>
        <w:tc>
          <w:tcPr>
            <w:tcW w:w="843"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9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color w:val="000000"/>
                <w:sz w:val="28"/>
                <w:szCs w:val="28"/>
              </w:rPr>
            </w:pPr>
          </w:p>
        </w:tc>
        <w:tc>
          <w:tcPr>
            <w:tcW w:w="143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color w:val="000000"/>
                <w:sz w:val="28"/>
                <w:szCs w:val="28"/>
              </w:rPr>
            </w:pPr>
          </w:p>
        </w:tc>
        <w:tc>
          <w:tcPr>
            <w:tcW w:w="1467"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安全管理体系与措施</w:t>
            </w:r>
          </w:p>
        </w:tc>
        <w:tc>
          <w:tcPr>
            <w:tcW w:w="589"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15</w:t>
            </w:r>
            <w:r>
              <w:rPr>
                <w:rFonts w:hint="eastAsia" w:ascii="仿宋" w:hAnsi="仿宋" w:eastAsia="仿宋" w:cs="仿宋"/>
                <w:color w:val="000000"/>
                <w:sz w:val="28"/>
                <w:szCs w:val="28"/>
              </w:rPr>
              <w:t>分</w:t>
            </w:r>
          </w:p>
        </w:tc>
        <w:tc>
          <w:tcPr>
            <w:tcW w:w="7202" w:type="dxa"/>
            <w:noWrap w:val="0"/>
            <w:vAlign w:val="center"/>
          </w:tcPr>
          <w:p>
            <w:pPr>
              <w:keepNext w:val="0"/>
              <w:keepLines w:val="0"/>
              <w:pageBreakBefore w:val="0"/>
              <w:widowControl w:val="0"/>
              <w:kinsoku/>
              <w:wordWrap/>
              <w:overflowPunct/>
              <w:topLinePunct w:val="0"/>
              <w:autoSpaceDE/>
              <w:autoSpaceDN/>
              <w:bidi w:val="0"/>
              <w:spacing w:line="288" w:lineRule="auto"/>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根据投标人提供的安全管理体系与措施方案进行综合比较，按照（1）投标人的环境安全及文物安全保证措施完整科学、严谨有效、详细周密的计</w:t>
            </w:r>
            <w:r>
              <w:rPr>
                <w:rFonts w:hint="eastAsia" w:ascii="仿宋" w:hAnsi="仿宋" w:eastAsia="仿宋" w:cs="仿宋"/>
                <w:color w:val="000000"/>
                <w:sz w:val="28"/>
                <w:szCs w:val="28"/>
                <w:lang w:val="en-US" w:eastAsia="zh-CN"/>
              </w:rPr>
              <w:t>15</w:t>
            </w:r>
            <w:r>
              <w:rPr>
                <w:rFonts w:hint="eastAsia" w:ascii="仿宋" w:hAnsi="仿宋" w:eastAsia="仿宋" w:cs="仿宋"/>
                <w:color w:val="000000"/>
                <w:sz w:val="28"/>
                <w:szCs w:val="28"/>
              </w:rPr>
              <w:t>分；（2）投标人的环境安全及文物安全保证措施基本合理、较为完善计</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分；（</w:t>
            </w:r>
            <w:bookmarkStart w:id="0" w:name="_GoBack"/>
            <w:bookmarkEnd w:id="0"/>
            <w:r>
              <w:rPr>
                <w:rFonts w:hint="eastAsia" w:ascii="仿宋" w:hAnsi="仿宋" w:eastAsia="仿宋" w:cs="仿宋"/>
                <w:color w:val="000000"/>
                <w:sz w:val="28"/>
                <w:szCs w:val="28"/>
              </w:rPr>
              <w:t>3）投标人的环境安全及文物安全保证措施不完善、不详细的计</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分；（4）未提供方案的计0分</w:t>
            </w:r>
          </w:p>
        </w:tc>
        <w:tc>
          <w:tcPr>
            <w:tcW w:w="843"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p>
        </w:tc>
        <w:tc>
          <w:tcPr>
            <w:tcW w:w="843"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p>
        </w:tc>
        <w:tc>
          <w:tcPr>
            <w:tcW w:w="843"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p>
        </w:tc>
        <w:tc>
          <w:tcPr>
            <w:tcW w:w="843"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49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color w:val="000000"/>
                <w:sz w:val="28"/>
                <w:szCs w:val="28"/>
              </w:rPr>
            </w:pPr>
          </w:p>
        </w:tc>
        <w:tc>
          <w:tcPr>
            <w:tcW w:w="143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color w:val="000000"/>
                <w:sz w:val="28"/>
                <w:szCs w:val="28"/>
              </w:rPr>
            </w:pPr>
          </w:p>
        </w:tc>
        <w:tc>
          <w:tcPr>
            <w:tcW w:w="1467"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修复进度计划与措施</w:t>
            </w:r>
          </w:p>
        </w:tc>
        <w:tc>
          <w:tcPr>
            <w:tcW w:w="589"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分</w:t>
            </w:r>
          </w:p>
        </w:tc>
        <w:tc>
          <w:tcPr>
            <w:tcW w:w="7202" w:type="dxa"/>
            <w:noWrap w:val="0"/>
            <w:vAlign w:val="center"/>
          </w:tcPr>
          <w:p>
            <w:pPr>
              <w:keepNext w:val="0"/>
              <w:keepLines w:val="0"/>
              <w:pageBreakBefore w:val="0"/>
              <w:widowControl w:val="0"/>
              <w:kinsoku/>
              <w:wordWrap/>
              <w:overflowPunct/>
              <w:topLinePunct w:val="0"/>
              <w:autoSpaceDE/>
              <w:autoSpaceDN/>
              <w:bidi w:val="0"/>
              <w:spacing w:line="288" w:lineRule="auto"/>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根据投标人提供的修复进度计划与措施方案进行综合比较，按照（1）投标人的修复进度计划与措施有详细进度计划、针对性强、科学可靠并明确提出时间节点的计</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分；（2）投标人的修复进度计划与措施有详细进度计划、基本合理的计</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分；（3）投标人的修复进度计划与措施欠合理的计</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分；（4）未提供方案的计0分</w:t>
            </w:r>
          </w:p>
        </w:tc>
        <w:tc>
          <w:tcPr>
            <w:tcW w:w="843"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p>
        </w:tc>
        <w:tc>
          <w:tcPr>
            <w:tcW w:w="843"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p>
        </w:tc>
        <w:tc>
          <w:tcPr>
            <w:tcW w:w="843"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p>
        </w:tc>
        <w:tc>
          <w:tcPr>
            <w:tcW w:w="843"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49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color w:val="000000"/>
                <w:sz w:val="28"/>
                <w:szCs w:val="28"/>
              </w:rPr>
            </w:pPr>
          </w:p>
        </w:tc>
        <w:tc>
          <w:tcPr>
            <w:tcW w:w="143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color w:val="000000"/>
                <w:sz w:val="28"/>
                <w:szCs w:val="28"/>
              </w:rPr>
            </w:pPr>
          </w:p>
        </w:tc>
        <w:tc>
          <w:tcPr>
            <w:tcW w:w="1467"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修复工作实施要点</w:t>
            </w:r>
          </w:p>
        </w:tc>
        <w:tc>
          <w:tcPr>
            <w:tcW w:w="589"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分</w:t>
            </w:r>
          </w:p>
        </w:tc>
        <w:tc>
          <w:tcPr>
            <w:tcW w:w="7202" w:type="dxa"/>
            <w:noWrap w:val="0"/>
            <w:vAlign w:val="center"/>
          </w:tcPr>
          <w:p>
            <w:pPr>
              <w:pStyle w:val="2"/>
              <w:keepNext w:val="0"/>
              <w:keepLines w:val="0"/>
              <w:pageBreakBefore w:val="0"/>
              <w:widowControl w:val="0"/>
              <w:kinsoku/>
              <w:wordWrap/>
              <w:overflowPunct/>
              <w:topLinePunct w:val="0"/>
              <w:autoSpaceDE/>
              <w:autoSpaceDN/>
              <w:bidi w:val="0"/>
              <w:spacing w:after="0" w:line="288" w:lineRule="auto"/>
              <w:ind w:left="0" w:leftChars="0" w:firstLine="0" w:firstLineChars="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根据投标人提供的修复工作实施要点进行综合比较，按照（1）整体修复工作实施方案要点突出，完整明了可计</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分；（2）修复工作实施要点突出，基本明了计</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分；（3）修复工作实施要点不突出，不明了计</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分；（4）未提供方案的计0分。</w:t>
            </w:r>
          </w:p>
        </w:tc>
        <w:tc>
          <w:tcPr>
            <w:tcW w:w="843" w:type="dxa"/>
            <w:noWrap w:val="0"/>
            <w:vAlign w:val="center"/>
          </w:tcPr>
          <w:p>
            <w:pPr>
              <w:pStyle w:val="2"/>
              <w:keepNext w:val="0"/>
              <w:keepLines w:val="0"/>
              <w:pageBreakBefore w:val="0"/>
              <w:widowControl w:val="0"/>
              <w:kinsoku/>
              <w:wordWrap/>
              <w:overflowPunct/>
              <w:topLinePunct w:val="0"/>
              <w:autoSpaceDE/>
              <w:autoSpaceDN/>
              <w:bidi w:val="0"/>
              <w:spacing w:after="0" w:line="288" w:lineRule="auto"/>
              <w:ind w:left="0" w:leftChars="0" w:firstLine="0" w:firstLineChars="0"/>
              <w:jc w:val="center"/>
              <w:textAlignment w:val="auto"/>
              <w:rPr>
                <w:rFonts w:hint="eastAsia" w:ascii="仿宋" w:hAnsi="仿宋" w:eastAsia="仿宋" w:cs="仿宋"/>
                <w:color w:val="000000"/>
                <w:sz w:val="28"/>
                <w:szCs w:val="28"/>
              </w:rPr>
            </w:pPr>
          </w:p>
        </w:tc>
        <w:tc>
          <w:tcPr>
            <w:tcW w:w="843" w:type="dxa"/>
            <w:noWrap w:val="0"/>
            <w:vAlign w:val="center"/>
          </w:tcPr>
          <w:p>
            <w:pPr>
              <w:pStyle w:val="2"/>
              <w:keepNext w:val="0"/>
              <w:keepLines w:val="0"/>
              <w:pageBreakBefore w:val="0"/>
              <w:widowControl w:val="0"/>
              <w:kinsoku/>
              <w:wordWrap/>
              <w:overflowPunct/>
              <w:topLinePunct w:val="0"/>
              <w:autoSpaceDE/>
              <w:autoSpaceDN/>
              <w:bidi w:val="0"/>
              <w:spacing w:after="0" w:line="288" w:lineRule="auto"/>
              <w:ind w:left="0" w:leftChars="0" w:firstLine="0" w:firstLineChars="0"/>
              <w:jc w:val="center"/>
              <w:textAlignment w:val="auto"/>
              <w:rPr>
                <w:rFonts w:hint="eastAsia" w:ascii="仿宋" w:hAnsi="仿宋" w:eastAsia="仿宋" w:cs="仿宋"/>
                <w:color w:val="000000"/>
                <w:sz w:val="28"/>
                <w:szCs w:val="28"/>
              </w:rPr>
            </w:pPr>
          </w:p>
        </w:tc>
        <w:tc>
          <w:tcPr>
            <w:tcW w:w="843" w:type="dxa"/>
            <w:noWrap w:val="0"/>
            <w:vAlign w:val="center"/>
          </w:tcPr>
          <w:p>
            <w:pPr>
              <w:pStyle w:val="2"/>
              <w:keepNext w:val="0"/>
              <w:keepLines w:val="0"/>
              <w:pageBreakBefore w:val="0"/>
              <w:widowControl w:val="0"/>
              <w:kinsoku/>
              <w:wordWrap/>
              <w:overflowPunct/>
              <w:topLinePunct w:val="0"/>
              <w:autoSpaceDE/>
              <w:autoSpaceDN/>
              <w:bidi w:val="0"/>
              <w:spacing w:after="0" w:line="288" w:lineRule="auto"/>
              <w:ind w:left="0" w:leftChars="0" w:firstLine="0" w:firstLineChars="0"/>
              <w:jc w:val="center"/>
              <w:textAlignment w:val="auto"/>
              <w:rPr>
                <w:rFonts w:hint="eastAsia" w:ascii="仿宋" w:hAnsi="仿宋" w:eastAsia="仿宋" w:cs="仿宋"/>
                <w:color w:val="000000"/>
                <w:sz w:val="28"/>
                <w:szCs w:val="28"/>
              </w:rPr>
            </w:pPr>
          </w:p>
        </w:tc>
        <w:tc>
          <w:tcPr>
            <w:tcW w:w="843" w:type="dxa"/>
            <w:noWrap w:val="0"/>
            <w:vAlign w:val="center"/>
          </w:tcPr>
          <w:p>
            <w:pPr>
              <w:pStyle w:val="2"/>
              <w:keepNext w:val="0"/>
              <w:keepLines w:val="0"/>
              <w:pageBreakBefore w:val="0"/>
              <w:widowControl w:val="0"/>
              <w:kinsoku/>
              <w:wordWrap/>
              <w:overflowPunct/>
              <w:topLinePunct w:val="0"/>
              <w:autoSpaceDE/>
              <w:autoSpaceDN/>
              <w:bidi w:val="0"/>
              <w:spacing w:after="0" w:line="288" w:lineRule="auto"/>
              <w:ind w:left="0" w:leftChars="0" w:firstLine="0" w:firstLineChars="0"/>
              <w:jc w:val="center"/>
              <w:textAlignment w:val="auto"/>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49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color w:val="000000"/>
                <w:sz w:val="28"/>
                <w:szCs w:val="28"/>
              </w:rPr>
            </w:pPr>
          </w:p>
        </w:tc>
        <w:tc>
          <w:tcPr>
            <w:tcW w:w="143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color w:val="000000"/>
                <w:sz w:val="28"/>
                <w:szCs w:val="28"/>
              </w:rPr>
            </w:pPr>
          </w:p>
        </w:tc>
        <w:tc>
          <w:tcPr>
            <w:tcW w:w="1467"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修复工作管理要点</w:t>
            </w:r>
          </w:p>
        </w:tc>
        <w:tc>
          <w:tcPr>
            <w:tcW w:w="589"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分</w:t>
            </w:r>
          </w:p>
        </w:tc>
        <w:tc>
          <w:tcPr>
            <w:tcW w:w="7202" w:type="dxa"/>
            <w:noWrap w:val="0"/>
            <w:vAlign w:val="center"/>
          </w:tcPr>
          <w:p>
            <w:pPr>
              <w:keepNext w:val="0"/>
              <w:keepLines w:val="0"/>
              <w:pageBreakBefore w:val="0"/>
              <w:widowControl w:val="0"/>
              <w:kinsoku/>
              <w:wordWrap/>
              <w:overflowPunct/>
              <w:topLinePunct w:val="0"/>
              <w:autoSpaceDE/>
              <w:autoSpaceDN/>
              <w:bidi w:val="0"/>
              <w:spacing w:line="288" w:lineRule="auto"/>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根据投标人提供修复工作管理要点进行综合比较，按照（1）修复工作管理要点突出，管理思路明确，管理制度科学计</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分；（2）修复工作管理要点突出，管理思路基本明确，管理制度基本科学计</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分；（3）修复工作管理要点不突出，管理思路不明确，管理制度不科学计</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分；（4）未提供方案的计0分</w:t>
            </w:r>
          </w:p>
        </w:tc>
        <w:tc>
          <w:tcPr>
            <w:tcW w:w="843"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p>
        </w:tc>
        <w:tc>
          <w:tcPr>
            <w:tcW w:w="843"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p>
        </w:tc>
        <w:tc>
          <w:tcPr>
            <w:tcW w:w="843"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p>
        </w:tc>
        <w:tc>
          <w:tcPr>
            <w:tcW w:w="843"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493"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w:t>
            </w:r>
          </w:p>
        </w:tc>
        <w:tc>
          <w:tcPr>
            <w:tcW w:w="1433"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color w:val="000000"/>
                <w:sz w:val="28"/>
                <w:szCs w:val="28"/>
              </w:rPr>
            </w:pPr>
            <w:r>
              <w:rPr>
                <w:rFonts w:hint="eastAsia" w:ascii="仿宋" w:hAnsi="仿宋" w:eastAsia="仿宋" w:cs="仿宋"/>
                <w:color w:val="000000"/>
                <w:spacing w:val="-11"/>
                <w:sz w:val="28"/>
                <w:szCs w:val="28"/>
              </w:rPr>
              <w:t>商务评价项</w:t>
            </w:r>
          </w:p>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45分</w:t>
            </w:r>
          </w:p>
        </w:tc>
        <w:tc>
          <w:tcPr>
            <w:tcW w:w="1467"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类似</w:t>
            </w:r>
          </w:p>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业绩</w:t>
            </w:r>
          </w:p>
        </w:tc>
        <w:tc>
          <w:tcPr>
            <w:tcW w:w="589"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16</w:t>
            </w:r>
            <w:r>
              <w:rPr>
                <w:rFonts w:hint="eastAsia" w:ascii="仿宋" w:hAnsi="仿宋" w:eastAsia="仿宋" w:cs="仿宋"/>
                <w:color w:val="000000"/>
                <w:sz w:val="28"/>
                <w:szCs w:val="28"/>
              </w:rPr>
              <w:t>分</w:t>
            </w:r>
          </w:p>
        </w:tc>
        <w:tc>
          <w:tcPr>
            <w:tcW w:w="7202" w:type="dxa"/>
            <w:noWrap w:val="0"/>
            <w:vAlign w:val="center"/>
          </w:tcPr>
          <w:p>
            <w:pPr>
              <w:keepNext w:val="0"/>
              <w:keepLines w:val="0"/>
              <w:pageBreakBefore w:val="0"/>
              <w:widowControl w:val="0"/>
              <w:kinsoku/>
              <w:wordWrap/>
              <w:overflowPunct/>
              <w:topLinePunct w:val="0"/>
              <w:autoSpaceDE/>
              <w:autoSpaceDN/>
              <w:bidi w:val="0"/>
              <w:spacing w:line="288" w:lineRule="auto"/>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投标人自</w:t>
            </w:r>
            <w:r>
              <w:rPr>
                <w:rFonts w:hint="eastAsia" w:ascii="仿宋" w:hAnsi="仿宋" w:eastAsia="仿宋" w:cs="仿宋"/>
                <w:color w:val="000000"/>
                <w:sz w:val="28"/>
                <w:szCs w:val="28"/>
                <w:lang w:val="en-US" w:eastAsia="zh-CN"/>
              </w:rPr>
              <w:t>2019</w:t>
            </w:r>
            <w:r>
              <w:rPr>
                <w:rFonts w:hint="eastAsia" w:ascii="仿宋" w:hAnsi="仿宋" w:eastAsia="仿宋" w:cs="仿宋"/>
                <w:color w:val="000000"/>
                <w:sz w:val="28"/>
                <w:szCs w:val="28"/>
              </w:rPr>
              <w:t>年以来每有一份同类项目</w:t>
            </w:r>
            <w:r>
              <w:rPr>
                <w:rFonts w:hint="eastAsia" w:ascii="仿宋" w:hAnsi="仿宋" w:eastAsia="仿宋" w:cs="仿宋"/>
                <w:color w:val="000000"/>
                <w:sz w:val="28"/>
                <w:szCs w:val="28"/>
                <w:lang w:eastAsia="zh-CN"/>
              </w:rPr>
              <w:t>（每项文物数量不低于</w:t>
            </w:r>
            <w:r>
              <w:rPr>
                <w:rFonts w:hint="eastAsia" w:ascii="仿宋" w:hAnsi="仿宋" w:eastAsia="仿宋" w:cs="仿宋"/>
                <w:color w:val="000000"/>
                <w:sz w:val="28"/>
                <w:szCs w:val="28"/>
                <w:lang w:val="en-US" w:eastAsia="zh-CN"/>
              </w:rPr>
              <w:t>5件套，不含书画</w:t>
            </w:r>
            <w:r>
              <w:rPr>
                <w:rFonts w:hint="eastAsia" w:ascii="仿宋" w:hAnsi="仿宋" w:eastAsia="仿宋" w:cs="仿宋"/>
                <w:color w:val="000000"/>
                <w:sz w:val="28"/>
                <w:szCs w:val="28"/>
                <w:lang w:eastAsia="zh-CN"/>
              </w:rPr>
              <w:t>）服务对象为省级单位及以上的计</w:t>
            </w:r>
            <w:r>
              <w:rPr>
                <w:rFonts w:hint="eastAsia" w:ascii="仿宋" w:hAnsi="仿宋" w:eastAsia="仿宋" w:cs="仿宋"/>
                <w:color w:val="000000"/>
                <w:sz w:val="28"/>
                <w:szCs w:val="28"/>
                <w:lang w:val="en-US" w:eastAsia="zh-CN"/>
              </w:rPr>
              <w:t>2分，服务对象为省级以下</w:t>
            </w:r>
            <w:r>
              <w:rPr>
                <w:rFonts w:hint="eastAsia" w:ascii="仿宋" w:hAnsi="仿宋" w:eastAsia="仿宋" w:cs="仿宋"/>
                <w:color w:val="000000"/>
                <w:sz w:val="28"/>
                <w:szCs w:val="28"/>
              </w:rPr>
              <w:t>的计1分,最多计满</w:t>
            </w:r>
            <w:r>
              <w:rPr>
                <w:rFonts w:hint="eastAsia" w:ascii="仿宋" w:hAnsi="仿宋" w:eastAsia="仿宋" w:cs="仿宋"/>
                <w:color w:val="000000"/>
                <w:sz w:val="28"/>
                <w:szCs w:val="28"/>
                <w:lang w:val="en-US" w:eastAsia="zh-CN"/>
              </w:rPr>
              <w:t>16</w:t>
            </w:r>
            <w:r>
              <w:rPr>
                <w:rFonts w:hint="eastAsia" w:ascii="仿宋" w:hAnsi="仿宋" w:eastAsia="仿宋" w:cs="仿宋"/>
                <w:color w:val="000000"/>
                <w:sz w:val="28"/>
                <w:szCs w:val="28"/>
              </w:rPr>
              <w:t>分为止（注：需提供中标通知书</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合同复印件</w:t>
            </w:r>
            <w:r>
              <w:rPr>
                <w:rFonts w:hint="eastAsia" w:ascii="仿宋" w:hAnsi="仿宋" w:eastAsia="仿宋" w:cs="仿宋"/>
                <w:color w:val="000000"/>
                <w:sz w:val="28"/>
                <w:szCs w:val="28"/>
                <w:lang w:eastAsia="zh-CN"/>
              </w:rPr>
              <w:t>、文物清单、</w:t>
            </w:r>
            <w:r>
              <w:rPr>
                <w:rFonts w:hint="eastAsia" w:ascii="仿宋" w:hAnsi="仿宋" w:eastAsia="仿宋" w:cs="仿宋"/>
                <w:color w:val="000000"/>
                <w:sz w:val="28"/>
                <w:szCs w:val="28"/>
                <w:lang w:val="en-US" w:eastAsia="zh-CN"/>
              </w:rPr>
              <w:t>专家验收意见</w:t>
            </w:r>
            <w:r>
              <w:rPr>
                <w:rFonts w:hint="eastAsia" w:ascii="仿宋" w:hAnsi="仿宋" w:eastAsia="仿宋" w:cs="仿宋"/>
                <w:color w:val="000000"/>
                <w:sz w:val="28"/>
                <w:szCs w:val="28"/>
              </w:rPr>
              <w:t>为评审依据</w:t>
            </w:r>
            <w:r>
              <w:rPr>
                <w:rFonts w:hint="eastAsia" w:ascii="仿宋" w:hAnsi="仿宋" w:eastAsia="仿宋" w:cs="仿宋"/>
                <w:color w:val="000000"/>
                <w:sz w:val="28"/>
                <w:szCs w:val="28"/>
                <w:lang w:eastAsia="zh-CN"/>
              </w:rPr>
              <w:t>。服务对象为同一家单位不重复计分</w:t>
            </w:r>
            <w:r>
              <w:rPr>
                <w:rFonts w:hint="eastAsia" w:ascii="仿宋" w:hAnsi="仿宋" w:eastAsia="仿宋" w:cs="仿宋"/>
                <w:color w:val="000000"/>
                <w:sz w:val="28"/>
                <w:szCs w:val="28"/>
              </w:rPr>
              <w:t>。）</w:t>
            </w:r>
          </w:p>
        </w:tc>
        <w:tc>
          <w:tcPr>
            <w:tcW w:w="843"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p>
        </w:tc>
        <w:tc>
          <w:tcPr>
            <w:tcW w:w="843"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p>
        </w:tc>
        <w:tc>
          <w:tcPr>
            <w:tcW w:w="843"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p>
        </w:tc>
        <w:tc>
          <w:tcPr>
            <w:tcW w:w="843"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49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color w:val="000000"/>
                <w:sz w:val="28"/>
                <w:szCs w:val="28"/>
              </w:rPr>
            </w:pPr>
          </w:p>
        </w:tc>
        <w:tc>
          <w:tcPr>
            <w:tcW w:w="143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color w:val="000000"/>
                <w:sz w:val="28"/>
                <w:szCs w:val="28"/>
                <w:lang w:val="en-US" w:eastAsia="zh-CN"/>
              </w:rPr>
            </w:pPr>
          </w:p>
        </w:tc>
        <w:tc>
          <w:tcPr>
            <w:tcW w:w="1467" w:type="dxa"/>
            <w:vMerge w:val="restart"/>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项目专业人员配置</w:t>
            </w:r>
          </w:p>
        </w:tc>
        <w:tc>
          <w:tcPr>
            <w:tcW w:w="589"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分</w:t>
            </w:r>
          </w:p>
        </w:tc>
        <w:tc>
          <w:tcPr>
            <w:tcW w:w="7202" w:type="dxa"/>
            <w:noWrap w:val="0"/>
            <w:vAlign w:val="center"/>
          </w:tcPr>
          <w:p>
            <w:pPr>
              <w:keepNext w:val="0"/>
              <w:keepLines w:val="0"/>
              <w:pageBreakBefore w:val="0"/>
              <w:widowControl w:val="0"/>
              <w:numPr>
                <w:ilvl w:val="0"/>
                <w:numId w:val="1"/>
              </w:numPr>
              <w:kinsoku/>
              <w:wordWrap/>
              <w:overflowPunct/>
              <w:topLinePunct w:val="0"/>
              <w:autoSpaceDE/>
              <w:autoSpaceDN/>
              <w:bidi w:val="0"/>
              <w:spacing w:line="288" w:lineRule="auto"/>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项目负责人具有文物博物领域高级职称的计</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分；</w:t>
            </w:r>
          </w:p>
          <w:p>
            <w:pPr>
              <w:keepNext w:val="0"/>
              <w:keepLines w:val="0"/>
              <w:pageBreakBefore w:val="0"/>
              <w:widowControl w:val="0"/>
              <w:numPr>
                <w:ilvl w:val="0"/>
                <w:numId w:val="1"/>
              </w:numPr>
              <w:kinsoku/>
              <w:wordWrap/>
              <w:overflowPunct/>
              <w:topLinePunct w:val="0"/>
              <w:autoSpaceDE/>
              <w:autoSpaceDN/>
              <w:bidi w:val="0"/>
              <w:spacing w:line="288" w:lineRule="auto"/>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项目负责人具有文物博物领域中级职称的计</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分</w:t>
            </w:r>
            <w:r>
              <w:rPr>
                <w:rFonts w:hint="eastAsia" w:ascii="仿宋" w:hAnsi="仿宋" w:eastAsia="仿宋" w:cs="仿宋"/>
                <w:color w:val="000000"/>
                <w:sz w:val="28"/>
                <w:szCs w:val="28"/>
                <w:lang w:eastAsia="zh-CN"/>
              </w:rPr>
              <w:t>；</w:t>
            </w:r>
          </w:p>
          <w:p>
            <w:pPr>
              <w:keepNext w:val="0"/>
              <w:keepLines w:val="0"/>
              <w:pageBreakBefore w:val="0"/>
              <w:widowControl w:val="0"/>
              <w:kinsoku/>
              <w:wordWrap/>
              <w:overflowPunct/>
              <w:topLinePunct w:val="0"/>
              <w:autoSpaceDE/>
              <w:autoSpaceDN/>
              <w:bidi w:val="0"/>
              <w:spacing w:line="288" w:lineRule="auto"/>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（注：提供专业技术职称资格证复印件</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聘用合同及202</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年以来任意3个月工资流水或社保证明等加盖公章的相关证明材料为评审依据。投标文件中项目</w:t>
            </w:r>
            <w:r>
              <w:rPr>
                <w:rFonts w:hint="eastAsia" w:ascii="仿宋" w:hAnsi="仿宋" w:eastAsia="仿宋" w:cs="仿宋"/>
                <w:color w:val="000000"/>
                <w:sz w:val="28"/>
                <w:szCs w:val="28"/>
                <w:lang w:eastAsia="zh-CN"/>
              </w:rPr>
              <w:t>负责人</w:t>
            </w:r>
            <w:r>
              <w:rPr>
                <w:rFonts w:hint="eastAsia" w:ascii="仿宋" w:hAnsi="仿宋" w:eastAsia="仿宋" w:cs="仿宋"/>
                <w:color w:val="000000"/>
                <w:sz w:val="28"/>
                <w:szCs w:val="28"/>
              </w:rPr>
              <w:t>需与中标后</w:t>
            </w:r>
            <w:r>
              <w:rPr>
                <w:rFonts w:hint="eastAsia" w:ascii="仿宋" w:hAnsi="仿宋" w:eastAsia="仿宋" w:cs="仿宋"/>
                <w:color w:val="000000"/>
                <w:sz w:val="28"/>
                <w:szCs w:val="28"/>
                <w:lang w:eastAsia="zh-CN"/>
              </w:rPr>
              <w:t>现场</w:t>
            </w:r>
            <w:r>
              <w:rPr>
                <w:rFonts w:hint="eastAsia" w:ascii="仿宋" w:hAnsi="仿宋" w:eastAsia="仿宋" w:cs="仿宋"/>
                <w:color w:val="000000"/>
                <w:sz w:val="28"/>
                <w:szCs w:val="28"/>
              </w:rPr>
              <w:t>实际</w:t>
            </w:r>
            <w:r>
              <w:rPr>
                <w:rFonts w:hint="eastAsia" w:ascii="仿宋" w:hAnsi="仿宋" w:eastAsia="仿宋" w:cs="仿宋"/>
                <w:color w:val="000000"/>
                <w:sz w:val="28"/>
                <w:szCs w:val="28"/>
                <w:lang w:eastAsia="zh-CN"/>
              </w:rPr>
              <w:t>负责人</w:t>
            </w:r>
            <w:r>
              <w:rPr>
                <w:rFonts w:hint="eastAsia" w:ascii="仿宋" w:hAnsi="仿宋" w:eastAsia="仿宋" w:cs="仿宋"/>
                <w:color w:val="000000"/>
                <w:sz w:val="28"/>
                <w:szCs w:val="28"/>
              </w:rPr>
              <w:t>信息</w:t>
            </w:r>
            <w:r>
              <w:rPr>
                <w:rFonts w:hint="eastAsia" w:ascii="仿宋" w:hAnsi="仿宋" w:eastAsia="仿宋" w:cs="仿宋"/>
                <w:color w:val="000000"/>
                <w:sz w:val="28"/>
                <w:szCs w:val="28"/>
                <w:lang w:eastAsia="zh-CN"/>
              </w:rPr>
              <w:t>一</w:t>
            </w:r>
            <w:r>
              <w:rPr>
                <w:rFonts w:hint="eastAsia" w:ascii="仿宋" w:hAnsi="仿宋" w:eastAsia="仿宋" w:cs="仿宋"/>
                <w:color w:val="000000"/>
                <w:sz w:val="28"/>
                <w:szCs w:val="28"/>
              </w:rPr>
              <w:t>致</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对于弄虛作假行为一经发现将纳入合作</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黑名单</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并追加相关法律责任）。</w:t>
            </w:r>
          </w:p>
        </w:tc>
        <w:tc>
          <w:tcPr>
            <w:tcW w:w="843"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p>
        </w:tc>
        <w:tc>
          <w:tcPr>
            <w:tcW w:w="843"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p>
        </w:tc>
        <w:tc>
          <w:tcPr>
            <w:tcW w:w="843"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p>
        </w:tc>
        <w:tc>
          <w:tcPr>
            <w:tcW w:w="843"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49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color w:val="000000"/>
                <w:sz w:val="28"/>
                <w:szCs w:val="28"/>
              </w:rPr>
            </w:pPr>
          </w:p>
        </w:tc>
        <w:tc>
          <w:tcPr>
            <w:tcW w:w="143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color w:val="000000"/>
                <w:spacing w:val="-11"/>
                <w:sz w:val="28"/>
                <w:szCs w:val="28"/>
              </w:rPr>
            </w:pPr>
          </w:p>
        </w:tc>
        <w:tc>
          <w:tcPr>
            <w:tcW w:w="1467" w:type="dxa"/>
            <w:vMerge w:val="continue"/>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p>
        </w:tc>
        <w:tc>
          <w:tcPr>
            <w:tcW w:w="589"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分</w:t>
            </w:r>
          </w:p>
        </w:tc>
        <w:tc>
          <w:tcPr>
            <w:tcW w:w="7202" w:type="dxa"/>
            <w:noWrap w:val="0"/>
            <w:vAlign w:val="center"/>
          </w:tcPr>
          <w:p>
            <w:pPr>
              <w:keepNext w:val="0"/>
              <w:keepLines w:val="0"/>
              <w:pageBreakBefore w:val="0"/>
              <w:widowControl w:val="0"/>
              <w:kinsoku/>
              <w:wordWrap/>
              <w:overflowPunct/>
              <w:topLinePunct w:val="0"/>
              <w:autoSpaceDE/>
              <w:autoSpaceDN/>
              <w:bidi w:val="0"/>
              <w:spacing w:line="288" w:lineRule="auto"/>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项目组成员每具有一位从事专业技术修复人员中级及以上职称的每一个</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分，最高</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分（</w:t>
            </w:r>
            <w:r>
              <w:rPr>
                <w:rFonts w:hint="eastAsia" w:ascii="仿宋" w:hAnsi="仿宋" w:eastAsia="仿宋" w:cs="仿宋"/>
                <w:color w:val="000000"/>
                <w:sz w:val="28"/>
                <w:szCs w:val="28"/>
                <w:lang w:val="en-US" w:eastAsia="zh-CN"/>
              </w:rPr>
              <w:t>注：</w:t>
            </w:r>
            <w:r>
              <w:rPr>
                <w:rFonts w:hint="eastAsia" w:ascii="仿宋" w:hAnsi="仿宋" w:eastAsia="仿宋" w:cs="仿宋"/>
                <w:color w:val="000000"/>
                <w:sz w:val="28"/>
                <w:szCs w:val="28"/>
              </w:rPr>
              <w:t>提供专业技术职称资格证复印件、聘用合同</w:t>
            </w:r>
            <w:r>
              <w:rPr>
                <w:rFonts w:hint="eastAsia" w:ascii="仿宋" w:hAnsi="仿宋" w:eastAsia="仿宋" w:cs="仿宋"/>
                <w:color w:val="000000"/>
                <w:sz w:val="28"/>
                <w:szCs w:val="28"/>
                <w:lang w:eastAsia="zh-CN"/>
              </w:rPr>
              <w:t>及</w:t>
            </w:r>
            <w:r>
              <w:rPr>
                <w:rFonts w:hint="eastAsia" w:ascii="仿宋" w:hAnsi="仿宋" w:eastAsia="仿宋" w:cs="仿宋"/>
                <w:color w:val="000000"/>
                <w:sz w:val="28"/>
                <w:szCs w:val="28"/>
              </w:rPr>
              <w:t>202</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年以来任意3个月工资流水或社保证明等</w:t>
            </w:r>
            <w:r>
              <w:rPr>
                <w:rFonts w:hint="eastAsia" w:ascii="仿宋" w:hAnsi="仿宋" w:eastAsia="仿宋" w:cs="仿宋"/>
                <w:color w:val="000000"/>
                <w:sz w:val="28"/>
                <w:szCs w:val="28"/>
                <w:lang w:val="en-US" w:eastAsia="zh-CN"/>
              </w:rPr>
              <w:t>加盖公章的</w:t>
            </w:r>
            <w:r>
              <w:rPr>
                <w:rFonts w:hint="eastAsia" w:ascii="仿宋" w:hAnsi="仿宋" w:eastAsia="仿宋" w:cs="仿宋"/>
                <w:color w:val="000000"/>
                <w:sz w:val="28"/>
                <w:szCs w:val="28"/>
              </w:rPr>
              <w:t>相关证明材料为评审依据</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投标文件中项目组人员需与中标后实际参与修复人员信息一致，</w:t>
            </w:r>
            <w:r>
              <w:rPr>
                <w:rFonts w:hint="eastAsia" w:ascii="仿宋" w:hAnsi="仿宋" w:eastAsia="仿宋" w:cs="仿宋"/>
                <w:color w:val="000000"/>
                <w:sz w:val="28"/>
                <w:szCs w:val="28"/>
                <w:lang w:val="en-US" w:eastAsia="zh-CN"/>
              </w:rPr>
              <w:t>项目实施过程中实际参与人员数量可以超过项目团队人员，对于弄虚作假行为一经发现将纳入合作“黑名单”并追加相关法律责任</w:t>
            </w:r>
            <w:r>
              <w:rPr>
                <w:rFonts w:hint="eastAsia" w:ascii="仿宋" w:hAnsi="仿宋" w:eastAsia="仿宋" w:cs="仿宋"/>
                <w:color w:val="000000"/>
                <w:sz w:val="28"/>
                <w:szCs w:val="28"/>
              </w:rPr>
              <w:t>）。</w:t>
            </w:r>
          </w:p>
        </w:tc>
        <w:tc>
          <w:tcPr>
            <w:tcW w:w="843"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p>
        </w:tc>
        <w:tc>
          <w:tcPr>
            <w:tcW w:w="843"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p>
        </w:tc>
        <w:tc>
          <w:tcPr>
            <w:tcW w:w="843"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p>
        </w:tc>
        <w:tc>
          <w:tcPr>
            <w:tcW w:w="843"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49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color w:val="000000"/>
                <w:sz w:val="28"/>
                <w:szCs w:val="28"/>
              </w:rPr>
            </w:pPr>
          </w:p>
        </w:tc>
        <w:tc>
          <w:tcPr>
            <w:tcW w:w="143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color w:val="000000"/>
                <w:spacing w:val="-11"/>
                <w:sz w:val="28"/>
                <w:szCs w:val="28"/>
              </w:rPr>
            </w:pPr>
          </w:p>
        </w:tc>
        <w:tc>
          <w:tcPr>
            <w:tcW w:w="1467" w:type="dxa"/>
            <w:vMerge w:val="continue"/>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p>
        </w:tc>
        <w:tc>
          <w:tcPr>
            <w:tcW w:w="589"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分</w:t>
            </w:r>
          </w:p>
        </w:tc>
        <w:tc>
          <w:tcPr>
            <w:tcW w:w="7202" w:type="dxa"/>
            <w:noWrap w:val="0"/>
            <w:vAlign w:val="center"/>
          </w:tcPr>
          <w:p>
            <w:pPr>
              <w:keepNext w:val="0"/>
              <w:keepLines w:val="0"/>
              <w:pageBreakBefore w:val="0"/>
              <w:widowControl w:val="0"/>
              <w:kinsoku/>
              <w:wordWrap/>
              <w:overflowPunct/>
              <w:topLinePunct w:val="0"/>
              <w:autoSpaceDE/>
              <w:autoSpaceDN/>
              <w:bidi w:val="0"/>
              <w:spacing w:line="288" w:lineRule="auto"/>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项目组成员每具有一位从事文物保护（或文物修复、文博研究）副高级及以上职称的每一个</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分，最高</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分（</w:t>
            </w:r>
            <w:r>
              <w:rPr>
                <w:rFonts w:hint="eastAsia" w:ascii="仿宋" w:hAnsi="仿宋" w:eastAsia="仿宋" w:cs="仿宋"/>
                <w:color w:val="000000"/>
                <w:sz w:val="28"/>
                <w:szCs w:val="28"/>
                <w:lang w:val="en-US" w:eastAsia="zh-CN"/>
              </w:rPr>
              <w:t>注：</w:t>
            </w:r>
            <w:r>
              <w:rPr>
                <w:rFonts w:hint="eastAsia" w:ascii="仿宋" w:hAnsi="仿宋" w:eastAsia="仿宋" w:cs="仿宋"/>
                <w:color w:val="000000"/>
                <w:sz w:val="28"/>
                <w:szCs w:val="28"/>
              </w:rPr>
              <w:t>提供专业技术职称资格证复印件、聘用合同</w:t>
            </w:r>
            <w:r>
              <w:rPr>
                <w:rFonts w:hint="eastAsia" w:ascii="仿宋" w:hAnsi="仿宋" w:eastAsia="仿宋" w:cs="仿宋"/>
                <w:color w:val="000000"/>
                <w:sz w:val="28"/>
                <w:szCs w:val="28"/>
                <w:lang w:eastAsia="zh-CN"/>
              </w:rPr>
              <w:t>及</w:t>
            </w:r>
            <w:r>
              <w:rPr>
                <w:rFonts w:hint="eastAsia" w:ascii="仿宋" w:hAnsi="仿宋" w:eastAsia="仿宋" w:cs="仿宋"/>
                <w:color w:val="000000"/>
                <w:sz w:val="28"/>
                <w:szCs w:val="28"/>
              </w:rPr>
              <w:t>202</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年以来任意3个月工资流水或社保证明等</w:t>
            </w:r>
            <w:r>
              <w:rPr>
                <w:rFonts w:hint="eastAsia" w:ascii="仿宋" w:hAnsi="仿宋" w:eastAsia="仿宋" w:cs="仿宋"/>
                <w:color w:val="000000"/>
                <w:sz w:val="28"/>
                <w:szCs w:val="28"/>
                <w:lang w:val="en-US" w:eastAsia="zh-CN"/>
              </w:rPr>
              <w:t>加盖公章的</w:t>
            </w:r>
            <w:r>
              <w:rPr>
                <w:rFonts w:hint="eastAsia" w:ascii="仿宋" w:hAnsi="仿宋" w:eastAsia="仿宋" w:cs="仿宋"/>
                <w:color w:val="000000"/>
                <w:sz w:val="28"/>
                <w:szCs w:val="28"/>
              </w:rPr>
              <w:t>相关证明材料为评审依据</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投标文件中项目组人员需与中标后实际参与修复人员信息一致，</w:t>
            </w:r>
            <w:r>
              <w:rPr>
                <w:rFonts w:hint="eastAsia" w:ascii="仿宋" w:hAnsi="仿宋" w:eastAsia="仿宋" w:cs="仿宋"/>
                <w:color w:val="000000"/>
                <w:sz w:val="28"/>
                <w:szCs w:val="28"/>
                <w:lang w:val="en-US" w:eastAsia="zh-CN"/>
              </w:rPr>
              <w:t>项目实施过程中实际参与人员数量可以超过项目团队人员，对于弄虚作假行为一经发现将纳入合作“黑名单”并追加相关法律责任</w:t>
            </w:r>
            <w:r>
              <w:rPr>
                <w:rFonts w:hint="eastAsia" w:ascii="仿宋" w:hAnsi="仿宋" w:eastAsia="仿宋" w:cs="仿宋"/>
                <w:color w:val="000000"/>
                <w:sz w:val="28"/>
                <w:szCs w:val="28"/>
              </w:rPr>
              <w:t>）。</w:t>
            </w:r>
          </w:p>
        </w:tc>
        <w:tc>
          <w:tcPr>
            <w:tcW w:w="843"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p>
        </w:tc>
        <w:tc>
          <w:tcPr>
            <w:tcW w:w="843"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p>
        </w:tc>
        <w:tc>
          <w:tcPr>
            <w:tcW w:w="843"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p>
        </w:tc>
        <w:tc>
          <w:tcPr>
            <w:tcW w:w="843"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49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color w:val="000000"/>
                <w:sz w:val="28"/>
                <w:szCs w:val="28"/>
              </w:rPr>
            </w:pPr>
          </w:p>
        </w:tc>
        <w:tc>
          <w:tcPr>
            <w:tcW w:w="143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color w:val="000000"/>
                <w:spacing w:val="-11"/>
                <w:sz w:val="28"/>
                <w:szCs w:val="28"/>
              </w:rPr>
            </w:pPr>
          </w:p>
        </w:tc>
        <w:tc>
          <w:tcPr>
            <w:tcW w:w="1467"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财务状况</w:t>
            </w:r>
          </w:p>
        </w:tc>
        <w:tc>
          <w:tcPr>
            <w:tcW w:w="589"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分</w:t>
            </w:r>
          </w:p>
        </w:tc>
        <w:tc>
          <w:tcPr>
            <w:tcW w:w="7202" w:type="dxa"/>
            <w:noWrap w:val="0"/>
            <w:vAlign w:val="center"/>
          </w:tcPr>
          <w:p>
            <w:pPr>
              <w:keepNext w:val="0"/>
              <w:keepLines w:val="0"/>
              <w:pageBreakBefore w:val="0"/>
              <w:widowControl w:val="0"/>
              <w:kinsoku/>
              <w:wordWrap/>
              <w:overflowPunct/>
              <w:topLinePunct w:val="0"/>
              <w:autoSpaceDE/>
              <w:autoSpaceDN/>
              <w:bidi w:val="0"/>
              <w:spacing w:line="288" w:lineRule="auto"/>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根据投标人提供的20</w:t>
            </w:r>
            <w:r>
              <w:rPr>
                <w:rFonts w:hint="eastAsia" w:ascii="仿宋" w:hAnsi="仿宋" w:eastAsia="仿宋" w:cs="仿宋"/>
                <w:color w:val="000000"/>
                <w:sz w:val="28"/>
                <w:szCs w:val="28"/>
                <w:lang w:val="en-US" w:eastAsia="zh-CN"/>
              </w:rPr>
              <w:t>22或2023</w:t>
            </w:r>
            <w:r>
              <w:rPr>
                <w:rFonts w:hint="eastAsia" w:ascii="仿宋" w:hAnsi="仿宋" w:eastAsia="仿宋" w:cs="仿宋"/>
                <w:color w:val="000000"/>
                <w:sz w:val="28"/>
                <w:szCs w:val="28"/>
              </w:rPr>
              <w:t>年度经会计师事务所审计的财务报表，盈利的计2分，未盈利或亏损的不记分；未满一年新成立的投标人能提供银行资信证明的计1分。</w:t>
            </w:r>
          </w:p>
        </w:tc>
        <w:tc>
          <w:tcPr>
            <w:tcW w:w="843"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p>
        </w:tc>
        <w:tc>
          <w:tcPr>
            <w:tcW w:w="843"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p>
        </w:tc>
        <w:tc>
          <w:tcPr>
            <w:tcW w:w="843"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p>
        </w:tc>
        <w:tc>
          <w:tcPr>
            <w:tcW w:w="843"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49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color w:val="000000"/>
                <w:sz w:val="28"/>
                <w:szCs w:val="28"/>
              </w:rPr>
            </w:pPr>
          </w:p>
        </w:tc>
        <w:tc>
          <w:tcPr>
            <w:tcW w:w="143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color w:val="000000"/>
                <w:spacing w:val="-11"/>
                <w:sz w:val="28"/>
                <w:szCs w:val="28"/>
              </w:rPr>
            </w:pPr>
          </w:p>
        </w:tc>
        <w:tc>
          <w:tcPr>
            <w:tcW w:w="14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投标文件制作</w:t>
            </w:r>
          </w:p>
        </w:tc>
        <w:tc>
          <w:tcPr>
            <w:tcW w:w="5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分</w:t>
            </w:r>
          </w:p>
        </w:tc>
        <w:tc>
          <w:tcPr>
            <w:tcW w:w="7202" w:type="dxa"/>
            <w:noWrap w:val="0"/>
            <w:vAlign w:val="center"/>
          </w:tcPr>
          <w:p>
            <w:pPr>
              <w:keepNext w:val="0"/>
              <w:keepLines w:val="0"/>
              <w:pageBreakBefore w:val="0"/>
              <w:widowControl w:val="0"/>
              <w:kinsoku/>
              <w:wordWrap/>
              <w:overflowPunct/>
              <w:topLinePunct w:val="0"/>
              <w:autoSpaceDE/>
              <w:autoSpaceDN/>
              <w:bidi w:val="0"/>
              <w:spacing w:line="288" w:lineRule="auto"/>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投标文件制作精美、顺序编制，有目录、编页码（目录与页码相符），装订成册，书面整洁无涂改，价格数量等记算准确的，完全符合招标文件规定的，计3分；有一项不符合要求的扣0.5分，扣完3分为止。</w:t>
            </w:r>
          </w:p>
        </w:tc>
        <w:tc>
          <w:tcPr>
            <w:tcW w:w="843"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p>
        </w:tc>
        <w:tc>
          <w:tcPr>
            <w:tcW w:w="843"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p>
        </w:tc>
        <w:tc>
          <w:tcPr>
            <w:tcW w:w="843"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p>
        </w:tc>
        <w:tc>
          <w:tcPr>
            <w:tcW w:w="843"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84" w:type="dxa"/>
            <w:gridSpan w:val="5"/>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得分（总分100）</w:t>
            </w:r>
          </w:p>
        </w:tc>
        <w:tc>
          <w:tcPr>
            <w:tcW w:w="843"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p>
        </w:tc>
        <w:tc>
          <w:tcPr>
            <w:tcW w:w="843"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p>
        </w:tc>
        <w:tc>
          <w:tcPr>
            <w:tcW w:w="843"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p>
        </w:tc>
        <w:tc>
          <w:tcPr>
            <w:tcW w:w="843"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仿宋" w:hAnsi="仿宋" w:eastAsia="仿宋" w:cs="仿宋"/>
                <w:color w:val="000000"/>
                <w:sz w:val="28"/>
                <w:szCs w:val="28"/>
              </w:rPr>
            </w:pPr>
          </w:p>
        </w:tc>
      </w:tr>
    </w:tbl>
    <w:p>
      <w:pPr>
        <w:pStyle w:val="2"/>
        <w:ind w:left="0" w:leftChars="0" w:firstLine="0" w:firstLineChars="0"/>
        <w:rPr>
          <w:rFonts w:hint="default"/>
          <w:b/>
          <w:bCs/>
          <w:sz w:val="32"/>
          <w:szCs w:val="40"/>
          <w:u w:val="none"/>
          <w:lang w:val="en-US" w:eastAsia="zh-CN"/>
        </w:rPr>
      </w:pPr>
    </w:p>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8097C7"/>
    <w:multiLevelType w:val="singleLevel"/>
    <w:tmpl w:val="F28097C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2MGM1MjBhZGZmMzk5Y2RiMjUwY2NkYjQ2YzAzZWYifQ=="/>
    <w:docVar w:name="KSO_WPS_MARK_KEY" w:val="2bf35662-3032-47c4-a4b8-6a75c32d2f8f"/>
  </w:docVars>
  <w:rsids>
    <w:rsidRoot w:val="27B93484"/>
    <w:rsid w:val="00545F42"/>
    <w:rsid w:val="00D863A5"/>
    <w:rsid w:val="27B93484"/>
    <w:rsid w:val="4D651136"/>
    <w:rsid w:val="54984E71"/>
    <w:rsid w:val="64403A0F"/>
    <w:rsid w:val="66EB22AB"/>
    <w:rsid w:val="67691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200"/>
    </w:pPr>
  </w:style>
  <w:style w:type="paragraph" w:styleId="3">
    <w:name w:val="Body Text Indent"/>
    <w:basedOn w:val="1"/>
    <w:qFormat/>
    <w:uiPriority w:val="0"/>
    <w:pPr>
      <w:ind w:firstLine="420"/>
    </w:pPr>
    <w:rPr>
      <w:rFonts w:ascii="宋体" w:hAnsi="宋体"/>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1789</Words>
  <Characters>1830</Characters>
  <Lines>0</Lines>
  <Paragraphs>0</Paragraphs>
  <TotalTime>2</TotalTime>
  <ScaleCrop>false</ScaleCrop>
  <LinksUpToDate>false</LinksUpToDate>
  <CharactersWithSpaces>1909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2024-04-23T14:22:00Z</dcterms:created>
  <dc:creator>HP</dc:creator>
  <cp:lastModifiedBy>HP</cp:lastModifiedBy>
  <cp:lastPrinted>2024-04-28T02:53:00Z</cp:lastPrinted>
  <dcterms:modified xsi:type="dcterms:W3CDTF">2024-04-29T02:51:51Z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67D54A3CBB6441FC9C772119D7442F87_13</vt:lpwstr>
  </property>
</Properties>
</file>