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6E944">
      <w:p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47FC6BBE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评分标准</w:t>
      </w:r>
    </w:p>
    <w:tbl>
      <w:tblPr>
        <w:tblStyle w:val="3"/>
        <w:tblW w:w="10125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808"/>
        <w:gridCol w:w="7478"/>
      </w:tblGrid>
      <w:tr w14:paraId="5EC2872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9" w:type="dxa"/>
            <w:noWrap w:val="0"/>
            <w:vAlign w:val="center"/>
          </w:tcPr>
          <w:p w14:paraId="3437B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286" w:type="dxa"/>
            <w:gridSpan w:val="2"/>
            <w:noWrap w:val="0"/>
            <w:vAlign w:val="center"/>
          </w:tcPr>
          <w:p w14:paraId="672F9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报价分：(满分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 xml:space="preserve">分) </w:t>
            </w:r>
          </w:p>
        </w:tc>
      </w:tr>
      <w:tr w14:paraId="067093B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9" w:type="dxa"/>
            <w:noWrap w:val="0"/>
            <w:vAlign w:val="center"/>
          </w:tcPr>
          <w:p w14:paraId="35064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08" w:type="dxa"/>
            <w:noWrap w:val="0"/>
            <w:vAlign w:val="center"/>
          </w:tcPr>
          <w:p w14:paraId="06430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评审内容</w:t>
            </w:r>
          </w:p>
        </w:tc>
        <w:tc>
          <w:tcPr>
            <w:tcW w:w="7478" w:type="dxa"/>
            <w:noWrap w:val="0"/>
            <w:vAlign w:val="center"/>
          </w:tcPr>
          <w:p w14:paraId="09693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评分标准</w:t>
            </w:r>
          </w:p>
        </w:tc>
      </w:tr>
      <w:tr w14:paraId="59B5BEF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9" w:type="dxa"/>
            <w:noWrap w:val="0"/>
            <w:vAlign w:val="center"/>
          </w:tcPr>
          <w:p w14:paraId="05E51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  <w:t>1.1</w:t>
            </w:r>
          </w:p>
        </w:tc>
        <w:tc>
          <w:tcPr>
            <w:tcW w:w="1808" w:type="dxa"/>
            <w:noWrap w:val="0"/>
            <w:vAlign w:val="center"/>
          </w:tcPr>
          <w:p w14:paraId="571A8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  <w:t>投标报价分</w:t>
            </w:r>
          </w:p>
          <w:p w14:paraId="101DF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478" w:type="dxa"/>
            <w:noWrap w:val="0"/>
            <w:vAlign w:val="center"/>
          </w:tcPr>
          <w:p w14:paraId="5E460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报价得分＝（评标基准价／有效磋商报价）×价格权值(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%)×100</w:t>
            </w:r>
          </w:p>
          <w:p w14:paraId="0223A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1.评标基准价指满足采购文件要求的前提下，最低的有效磋商报价。</w:t>
            </w:r>
          </w:p>
          <w:p w14:paraId="7E2E2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2.评审小组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认为供应商的报价明显低于其他通过符合性审查的供应商的报价，有可能影响服务质量或者不能诚信履约的，应当要求其在评标现场合理的时间内提供书面说明，必要时提交相关证明材料；供应商不能证明其报价合理性的，评标委员会应当将其作为无效投标处理。</w:t>
            </w:r>
          </w:p>
        </w:tc>
      </w:tr>
      <w:tr w14:paraId="65D0A528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9" w:type="dxa"/>
            <w:noWrap w:val="0"/>
            <w:vAlign w:val="center"/>
          </w:tcPr>
          <w:p w14:paraId="16D21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286" w:type="dxa"/>
            <w:gridSpan w:val="2"/>
            <w:noWrap w:val="0"/>
            <w:vAlign w:val="center"/>
          </w:tcPr>
          <w:p w14:paraId="19003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  <w:t>技术分：(满分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  <w:t xml:space="preserve">分) </w:t>
            </w:r>
          </w:p>
        </w:tc>
      </w:tr>
      <w:tr w14:paraId="74B6B0E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39" w:type="dxa"/>
            <w:noWrap w:val="0"/>
            <w:vAlign w:val="center"/>
          </w:tcPr>
          <w:p w14:paraId="4D4E0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08" w:type="dxa"/>
            <w:noWrap w:val="0"/>
            <w:vAlign w:val="center"/>
          </w:tcPr>
          <w:p w14:paraId="6DE6A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  <w:t>评审内容</w:t>
            </w:r>
          </w:p>
        </w:tc>
        <w:tc>
          <w:tcPr>
            <w:tcW w:w="7478" w:type="dxa"/>
            <w:noWrap w:val="0"/>
            <w:vAlign w:val="center"/>
          </w:tcPr>
          <w:p w14:paraId="56B30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  <w:t>评分标准</w:t>
            </w:r>
          </w:p>
        </w:tc>
      </w:tr>
      <w:tr w14:paraId="5544FA2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39" w:type="dxa"/>
            <w:tcBorders>
              <w:bottom w:val="double" w:color="auto" w:sz="4" w:space="0"/>
            </w:tcBorders>
            <w:noWrap w:val="0"/>
            <w:vAlign w:val="center"/>
          </w:tcPr>
          <w:p w14:paraId="39025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</w:rPr>
              <w:t>2.1</w:t>
            </w:r>
          </w:p>
        </w:tc>
        <w:tc>
          <w:tcPr>
            <w:tcW w:w="1808" w:type="dxa"/>
            <w:tcBorders>
              <w:bottom w:val="double" w:color="auto" w:sz="4" w:space="0"/>
            </w:tcBorders>
            <w:noWrap w:val="0"/>
            <w:vAlign w:val="center"/>
          </w:tcPr>
          <w:p w14:paraId="17762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服务方案</w:t>
            </w:r>
          </w:p>
          <w:p w14:paraId="34EA7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（20分）</w:t>
            </w:r>
          </w:p>
        </w:tc>
        <w:tc>
          <w:tcPr>
            <w:tcW w:w="7478" w:type="dxa"/>
            <w:tcBorders>
              <w:bottom w:val="double" w:color="auto" w:sz="4" w:space="0"/>
            </w:tcBorders>
            <w:noWrap w:val="0"/>
            <w:vAlign w:val="center"/>
          </w:tcPr>
          <w:p w14:paraId="005BD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从供应商提供的服务方案（方案至少包含但不限于以下内容：①项目的重难点分析及预算控制措施、②技术创新应用及应急与风险预案、③项目廉政工作纪律制度及保障措施、④项目保密措施与售后保障措施等）进行综合评审：</w:t>
            </w:r>
          </w:p>
          <w:p w14:paraId="7427C0EC">
            <w:pPr>
              <w:kinsoku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1.方案内容详实，科学合理，先进可靠，对需求理解充分；整体方案设计步骤清晰，完全满足本项目采购需求的，得2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0-15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分；</w:t>
            </w:r>
          </w:p>
          <w:p w14:paraId="72352D24">
            <w:pPr>
              <w:kinsoku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2.方案内容较详实，较科学合理，对需求理解较充分；整体方案设计步骤规划较得当，基本满足本项目采购需求的，得1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4.9-10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分；</w:t>
            </w:r>
          </w:p>
          <w:p w14:paraId="3E63268C">
            <w:pPr>
              <w:kinsoku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3.方案内容匮乏，对需求理解不充分，不能保证本项目采购需求的，得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9.9-0.1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分。</w:t>
            </w:r>
          </w:p>
          <w:p w14:paraId="6F79A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4.未提供方案或方案严重偏离的不得分。</w:t>
            </w:r>
          </w:p>
        </w:tc>
      </w:tr>
      <w:tr w14:paraId="735EA79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39" w:type="dxa"/>
            <w:tcBorders>
              <w:bottom w:val="double" w:color="auto" w:sz="4" w:space="0"/>
            </w:tcBorders>
            <w:noWrap w:val="0"/>
            <w:vAlign w:val="center"/>
          </w:tcPr>
          <w:p w14:paraId="5FD5B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2.2</w:t>
            </w:r>
          </w:p>
        </w:tc>
        <w:tc>
          <w:tcPr>
            <w:tcW w:w="1808" w:type="dxa"/>
            <w:tcBorders>
              <w:bottom w:val="double" w:color="auto" w:sz="4" w:space="0"/>
            </w:tcBorders>
            <w:noWrap w:val="0"/>
            <w:vAlign w:val="center"/>
          </w:tcPr>
          <w:p w14:paraId="0CDFD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质量、进度保证措施（10分）</w:t>
            </w:r>
          </w:p>
          <w:p w14:paraId="18CAE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78" w:type="dxa"/>
            <w:tcBorders>
              <w:bottom w:val="double" w:color="auto" w:sz="4" w:space="0"/>
            </w:tcBorders>
            <w:noWrap w:val="0"/>
            <w:vAlign w:val="center"/>
          </w:tcPr>
          <w:p w14:paraId="24786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从供应商提供针对本项目的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质量、进度保证措施(措施至少包含但不限于：①质量保证体系和质量承诺、②质量保证控制措施、③人员安排计划、④进度保障措施等）进行综合评审:</w:t>
            </w:r>
          </w:p>
          <w:p w14:paraId="257C5A36">
            <w:pPr>
              <w:numPr>
                <w:ilvl w:val="0"/>
                <w:numId w:val="1"/>
              </w:numPr>
              <w:kinsoku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方案内容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全面，逻辑清晰，措施方案科学、合理，措施针对性、可操作性、可行性强的，得10-7分；</w:t>
            </w:r>
          </w:p>
          <w:p w14:paraId="4A0C14E7">
            <w:pPr>
              <w:numPr>
                <w:ilvl w:val="0"/>
                <w:numId w:val="0"/>
              </w:numPr>
              <w:kinsoku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2.方案内容较全面，逻辑较清晰，措施方案较科学、合理，措施针对性、可操作性、可行性较强的，得6.9-3分；</w:t>
            </w:r>
          </w:p>
          <w:p w14:paraId="61428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3.方案内容基本全面，逻辑基本清晰，措施方案基本科学、合理，措施具有一定的针对性、可行性的，得2.9-0.1分；</w:t>
            </w:r>
          </w:p>
          <w:p w14:paraId="7D9E7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未提供方案或方案严重偏离的不得分。</w:t>
            </w:r>
          </w:p>
        </w:tc>
      </w:tr>
      <w:tr w14:paraId="543C682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39" w:type="dxa"/>
            <w:noWrap w:val="0"/>
            <w:vAlign w:val="center"/>
          </w:tcPr>
          <w:p w14:paraId="05CE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286" w:type="dxa"/>
            <w:gridSpan w:val="2"/>
            <w:noWrap w:val="0"/>
            <w:vAlign w:val="center"/>
          </w:tcPr>
          <w:p w14:paraId="5D184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  <w:t>商务分：(满分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  <w:t xml:space="preserve">分) </w:t>
            </w:r>
          </w:p>
        </w:tc>
      </w:tr>
      <w:tr w14:paraId="60D8730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39" w:type="dxa"/>
            <w:noWrap w:val="0"/>
            <w:vAlign w:val="center"/>
          </w:tcPr>
          <w:p w14:paraId="66469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08" w:type="dxa"/>
            <w:noWrap w:val="0"/>
            <w:vAlign w:val="center"/>
          </w:tcPr>
          <w:p w14:paraId="6CF56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  <w:t>评审内容</w:t>
            </w:r>
          </w:p>
        </w:tc>
        <w:tc>
          <w:tcPr>
            <w:tcW w:w="7478" w:type="dxa"/>
            <w:noWrap w:val="0"/>
            <w:vAlign w:val="center"/>
          </w:tcPr>
          <w:p w14:paraId="75B37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  <w:t>评分标准</w:t>
            </w:r>
          </w:p>
        </w:tc>
      </w:tr>
      <w:tr w14:paraId="57B0E5F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39" w:type="dxa"/>
            <w:noWrap w:val="0"/>
            <w:vAlign w:val="center"/>
          </w:tcPr>
          <w:p w14:paraId="1CB4B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3.1</w:t>
            </w:r>
          </w:p>
        </w:tc>
        <w:tc>
          <w:tcPr>
            <w:tcW w:w="1808" w:type="dxa"/>
            <w:noWrap w:val="0"/>
            <w:vAlign w:val="center"/>
          </w:tcPr>
          <w:p w14:paraId="40BB057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人员配备</w:t>
            </w:r>
          </w:p>
          <w:p w14:paraId="212CF911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（35分）</w:t>
            </w:r>
          </w:p>
        </w:tc>
        <w:tc>
          <w:tcPr>
            <w:tcW w:w="7478" w:type="dxa"/>
            <w:noWrap w:val="0"/>
            <w:vAlign w:val="center"/>
          </w:tcPr>
          <w:p w14:paraId="22EDE607">
            <w:pPr>
              <w:kinsoku/>
              <w:spacing w:line="360" w:lineRule="auto"/>
              <w:ind w:firstLine="241" w:firstLineChars="100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1.项目负责人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（15分）</w:t>
            </w:r>
          </w:p>
          <w:p w14:paraId="5B82E9C0">
            <w:pPr>
              <w:kinsoku/>
              <w:spacing w:line="360" w:lineRule="auto"/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具有注册会计师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C00000"/>
                <w:sz w:val="24"/>
                <w:szCs w:val="24"/>
                <w:highlight w:val="none"/>
                <w:lang w:val="en-US" w:eastAsia="zh-CN"/>
              </w:rPr>
              <w:t>或注册造价师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的得15分，中级职称的得10分。</w:t>
            </w:r>
          </w:p>
          <w:p w14:paraId="2C114816">
            <w:pPr>
              <w:kinsoku/>
              <w:spacing w:line="360" w:lineRule="auto"/>
              <w:ind w:firstLine="241" w:firstLineChars="100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2.其他人员（项目负责人除外）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（20分）</w:t>
            </w:r>
          </w:p>
          <w:p w14:paraId="34E4F7A9">
            <w:pPr>
              <w:kinsoku/>
              <w:spacing w:line="360" w:lineRule="auto"/>
              <w:ind w:firstLine="240" w:firstLineChars="100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具有会计、造价、审计相关职称的提供一人得5分，本项最多可得20分。</w:t>
            </w:r>
          </w:p>
          <w:p w14:paraId="7A525C84">
            <w:pPr>
              <w:kinsoku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需提供以上人员的相关证书及投标人2025年为其缴纳的任意连续3个月社保证明材料。</w:t>
            </w:r>
          </w:p>
        </w:tc>
      </w:tr>
      <w:tr w14:paraId="43F2CF02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double" w:color="auto" w:sz="6" w:space="0"/>
            <w:insideV w:val="doub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39" w:type="dxa"/>
            <w:noWrap w:val="0"/>
            <w:vAlign w:val="center"/>
          </w:tcPr>
          <w:p w14:paraId="15275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3.2</w:t>
            </w:r>
          </w:p>
        </w:tc>
        <w:tc>
          <w:tcPr>
            <w:tcW w:w="1808" w:type="dxa"/>
            <w:noWrap w:val="0"/>
            <w:vAlign w:val="center"/>
          </w:tcPr>
          <w:p w14:paraId="3727F9C8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类似业绩</w:t>
            </w:r>
          </w:p>
          <w:p w14:paraId="5C9A74BC"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（20分）</w:t>
            </w:r>
          </w:p>
        </w:tc>
        <w:tc>
          <w:tcPr>
            <w:tcW w:w="7478" w:type="dxa"/>
            <w:noWrap w:val="0"/>
            <w:vAlign w:val="center"/>
          </w:tcPr>
          <w:p w14:paraId="19CE1798">
            <w:pPr>
              <w:kinsoku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供应商2023年1月1日至今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具有类似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项目业绩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，提供一个业绩得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分，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本项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最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多可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eastAsia="zh-CN"/>
              </w:rPr>
              <w:t>分。</w:t>
            </w:r>
          </w:p>
          <w:p w14:paraId="5EBC2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1.需提供采购合同复印件或扫描件(合同首页、标的页、签字盖章页）为佐证，时间以合同签订日期为准。</w:t>
            </w:r>
          </w:p>
          <w:p w14:paraId="60540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482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2.类似项目业绩指概、预算/审计类业绩。</w:t>
            </w:r>
          </w:p>
        </w:tc>
      </w:tr>
    </w:tbl>
    <w:p w14:paraId="1AD542F0">
      <w:pPr>
        <w:spacing w:line="54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A9396A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5A7F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013935"/>
    <w:multiLevelType w:val="singleLevel"/>
    <w:tmpl w:val="FE0139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A52A3"/>
    <w:rsid w:val="575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2025-11-21T04:38:00Z</dcterms:created>
  <dc:creator>fxy</dc:creator>
  <cp:lastModifiedBy>fxy</cp:lastModifiedBy>
  <dcterms:modified xsi:type="dcterms:W3CDTF">2025-11-21T04:39:05Z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57D5D60D228C4708AC27748F24BC1664_11</vt:lpwstr>
  </property>
  <property fmtid="{D5CDD505-2E9C-101B-9397-08002B2CF9AE}" pid="4" name="KSOTemplateDocerSaveRecord">
    <vt:lpwstr>eyJoZGlkIjoiNzU0Mjk2NDE5NmFmNWUzNTdkY2YzMzE1OWY0MzljN2UiLCJ1c2VySWQiOiIxMDUwMDM2ODUwIn0=</vt:lpwstr>
  </property>
</Properties>
</file>