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E0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26A3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综合评分表</w:t>
      </w:r>
    </w:p>
    <w:tbl>
      <w:tblPr>
        <w:tblStyle w:val="2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55"/>
        <w:gridCol w:w="5097"/>
        <w:gridCol w:w="1022"/>
      </w:tblGrid>
      <w:tr w14:paraId="15B9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EA1B0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分值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4044F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评审项目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6F3BA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评分标准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EC6C9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分值</w:t>
            </w:r>
          </w:p>
        </w:tc>
      </w:tr>
      <w:tr w14:paraId="23B5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D73E0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价格分</w:t>
            </w:r>
          </w:p>
          <w:p w14:paraId="3F59BA38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（10分）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4D334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投标报价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86E4B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价格分采用低价优先法计算，即满足采购文件要求且投标最低的投标报价为评标基准价，其价格分为满分。投标供应商的价格分统一按照下列公式计算：投标报价得分＝（评标基准价/有效的投标报价）×10</w:t>
            </w:r>
          </w:p>
          <w:p w14:paraId="79A4BD67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备注：</w:t>
            </w:r>
          </w:p>
          <w:p w14:paraId="019AFBDE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1.投标供应商的报价不得高于采购文件规定的最高限价，否则作废标处理。</w:t>
            </w:r>
          </w:p>
          <w:p w14:paraId="64240379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2.经评审被废标的报价，不进入价格分计算</w:t>
            </w:r>
            <w:r>
              <w:rPr>
                <w:rFonts w:hint="eastAsia" w:ascii="宋体" w:hAnsi="宋体" w:eastAsia="宋体" w:cs="宋体"/>
                <w:highlight w:val="none"/>
              </w:rPr>
              <w:t>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AB67D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10</w:t>
            </w:r>
          </w:p>
        </w:tc>
      </w:tr>
      <w:tr w14:paraId="547B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64997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技术分</w:t>
            </w:r>
          </w:p>
          <w:p w14:paraId="5EE8B0F7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分）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8EFBF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整体实施方案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52B26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投标单位根据项目需求，制定完善的项目实施方案，（包括但不限于流程规划、媒体宣传）。</w:t>
            </w:r>
          </w:p>
          <w:p w14:paraId="4B059B05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①提供的项目工作方案完整、适用性强、针对性强的得6-8分；</w:t>
            </w:r>
          </w:p>
          <w:p w14:paraId="445F9A8C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②方案完整、适用性、针对性一般的3-6分；</w:t>
            </w:r>
          </w:p>
          <w:p w14:paraId="51F64C9C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③方案不完整、适用性、针对性较差的0-3分；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AA6A9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8</w:t>
            </w:r>
          </w:p>
        </w:tc>
      </w:tr>
      <w:tr w14:paraId="2666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1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AE2E9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7EC0A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创意方案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C4172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投标单位根据项目需求，制定完善的创意方案，(包括但不限于采访主题、发稿规划等)。</w:t>
            </w:r>
          </w:p>
          <w:p w14:paraId="7832BA32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①提供的项目质量和进度保证措施案完整、适用性强、针对性强的得5-7分；</w:t>
            </w:r>
          </w:p>
          <w:p w14:paraId="3A0A1AB5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②方案完整、适用性、针对性一般的2-5分；</w:t>
            </w:r>
          </w:p>
          <w:p w14:paraId="4919AF04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③方案不完整、适用性、针对性较差的0-2分；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86D07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</w:p>
        </w:tc>
      </w:tr>
      <w:tr w14:paraId="39CE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0A80E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商务分</w:t>
            </w:r>
          </w:p>
          <w:p w14:paraId="58BD7697">
            <w:pPr>
              <w:widowControl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分）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3C769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服务人员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78C42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每提供1名人员，从事媒体传播、音视频制作、内容策划服务年限满5年（含5年）以上经验的得5分，满分20分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。</w:t>
            </w:r>
          </w:p>
          <w:p w14:paraId="341E14DD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提供人员身份证、劳务合同或202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highlight w:val="none"/>
              </w:rPr>
              <w:t>年至投标截止时间期间任意一个月社保缴纳材料，否则不得分；</w:t>
            </w:r>
          </w:p>
          <w:p w14:paraId="22860561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注：人员经验由企业自行出具证明材料，不满足要求的不得分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F79A3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</w:t>
            </w:r>
          </w:p>
        </w:tc>
      </w:tr>
      <w:tr w14:paraId="3572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1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051D6">
            <w:pPr>
              <w:widowControl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06D0C">
            <w:pPr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  <w:lang w:val="en-US" w:eastAsia="zh-CN"/>
              </w:rPr>
              <w:t>代表性原创案例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EF87D">
            <w:pPr>
              <w:spacing w:after="0"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  <w:lang w:val="en-US" w:eastAsia="zh-CN"/>
              </w:rPr>
              <w:t>提供一个播放量500w、10w赞以上的代表性原创案例，反馈效果优秀的得7-10分；反馈良好的得4-6分；反馈效果一般的得1-3分；反馈效果差不得分。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AE22D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</w:t>
            </w:r>
          </w:p>
        </w:tc>
      </w:tr>
      <w:tr w14:paraId="30FD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62C60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CD372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案例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CADFF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代运营国家级文旅单位，每提供一个</w:t>
            </w:r>
            <w:r>
              <w:rPr>
                <w:rFonts w:hint="eastAsia" w:ascii="宋体" w:hAnsi="宋体" w:eastAsia="宋体" w:cs="宋体"/>
                <w:highlight w:val="none"/>
              </w:rPr>
              <w:t>得20分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代运营省级文旅单位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每提供一个</w:t>
            </w:r>
            <w:r>
              <w:rPr>
                <w:rFonts w:hint="eastAsia" w:ascii="宋体" w:hAnsi="宋体" w:eastAsia="宋体" w:cs="宋体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highlight w:val="none"/>
              </w:rPr>
              <w:t>0分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代运营市、区级及以上博物馆、美术馆、图书馆、纪念馆或4A级以上景区或文旅单位，每提供一个得5分。本项最高得35</w:t>
            </w:r>
            <w:r>
              <w:rPr>
                <w:rFonts w:hint="eastAsia" w:ascii="宋体" w:hAnsi="宋体" w:eastAsia="宋体" w:cs="宋体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。</w:t>
            </w:r>
          </w:p>
          <w:p w14:paraId="22ADF0F1">
            <w:pPr>
              <w:spacing w:after="0"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注：证明材料（合同或工程文件截图）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FBF0D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35</w:t>
            </w:r>
          </w:p>
        </w:tc>
      </w:tr>
      <w:tr w14:paraId="4FDD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DCBDC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E2B86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响应承诺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7C3F2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投标人承诺：若我公司中标，我公司拟派专人负责本项目，在接到电话通知后响应时间不得超过一小时，三小时内到达现场处理问题；得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highlight w:val="none"/>
              </w:rPr>
              <w:t>分(承诺函，格式自拟)，承诺不全或无承诺不得分。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93079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</w:tr>
      <w:tr w14:paraId="16C5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0578B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A5AF2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著作权承诺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044E7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投标人承诺：我公司若有幸中标，所提供的服务或其任何一部分均不会侵犯任何第三方的专利权、商标权或著作权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highlight w:val="none"/>
              </w:rPr>
              <w:t>一旦出现侵权、索赔或诉讼，应承担全部责任。保证提供的服务不存在危及人身及财产安全的隐患，不存在违反国家法律、法规及行业规范要求的有关安全条款，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不存在意识形态方面的错误，</w:t>
            </w:r>
            <w:r>
              <w:rPr>
                <w:rFonts w:hint="eastAsia" w:ascii="宋体" w:hAnsi="宋体" w:eastAsia="宋体" w:cs="宋体"/>
                <w:highlight w:val="none"/>
              </w:rPr>
              <w:t>否则承担全部法律责任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满分5</w:t>
            </w:r>
            <w:r>
              <w:rPr>
                <w:rFonts w:hint="eastAsia" w:ascii="宋体" w:hAnsi="宋体" w:eastAsia="宋体" w:cs="宋体"/>
                <w:highlight w:val="none"/>
              </w:rPr>
              <w:t>分。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985D4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</w:tr>
      <w:tr w14:paraId="49AA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4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25B37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得分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C77CF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100</w:t>
            </w:r>
          </w:p>
        </w:tc>
      </w:tr>
    </w:tbl>
    <w:p w14:paraId="64CD235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2439986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0F53E7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01A5B"/>
    <w:rsid w:val="3C10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2026-03-02T02:00:00Z</dcterms:created>
  <dc:creator>圆圈</dc:creator>
  <cp:lastModifiedBy>圆圈</cp:lastModifiedBy>
  <dcterms:modified xsi:type="dcterms:W3CDTF">2026-03-02T02:00:57Z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6FA7C8962748441C94B741B940EEEB87_11</vt:lpwstr>
  </property>
  <property fmtid="{D5CDD505-2E9C-101B-9397-08002B2CF9AE}" pid="4" name="KSOTemplateDocerSaveRecord">
    <vt:lpwstr>eyJoZGlkIjoiYmUyZWIyOTkwMGYwMzVmZTJjZGZkM2EyY2JiZDgzMmQiLCJ1c2VySWQiOiI5NTExNTM3NjUifQ==</vt:lpwstr>
  </property>
</Properties>
</file>